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6A" w:rsidRDefault="002A316A" w:rsidP="002A316A">
      <w:pPr>
        <w:ind w:firstLine="708"/>
        <w:jc w:val="both"/>
        <w:textAlignment w:val="baseline"/>
        <w:outlineLvl w:val="0"/>
        <w:rPr>
          <w:b/>
          <w:bCs/>
          <w:kern w:val="36"/>
          <w:sz w:val="28"/>
          <w:szCs w:val="28"/>
        </w:rPr>
      </w:pPr>
    </w:p>
    <w:p w:rsidR="002A316A" w:rsidRDefault="002A316A" w:rsidP="007D354A">
      <w:pPr>
        <w:ind w:firstLine="708"/>
        <w:jc w:val="center"/>
        <w:textAlignment w:val="baseline"/>
        <w:outlineLvl w:val="0"/>
        <w:rPr>
          <w:b/>
          <w:bCs/>
          <w:kern w:val="36"/>
          <w:sz w:val="28"/>
          <w:szCs w:val="28"/>
        </w:rPr>
      </w:pPr>
      <w:r w:rsidRPr="00E03723">
        <w:rPr>
          <w:b/>
          <w:bCs/>
          <w:kern w:val="36"/>
          <w:sz w:val="28"/>
          <w:szCs w:val="28"/>
        </w:rPr>
        <w:t>Как не пополнить ряды обманутых вкладчиков?</w:t>
      </w:r>
    </w:p>
    <w:p w:rsidR="007D354A" w:rsidRPr="00E03723" w:rsidRDefault="007D354A" w:rsidP="007D354A">
      <w:pPr>
        <w:ind w:firstLine="708"/>
        <w:jc w:val="center"/>
        <w:textAlignment w:val="baseline"/>
        <w:outlineLvl w:val="0"/>
        <w:rPr>
          <w:b/>
          <w:bCs/>
          <w:kern w:val="36"/>
          <w:sz w:val="28"/>
          <w:szCs w:val="28"/>
        </w:rPr>
      </w:pPr>
    </w:p>
    <w:p w:rsidR="002A316A" w:rsidRPr="00763A6F" w:rsidRDefault="002A316A" w:rsidP="002A316A">
      <w:pPr>
        <w:jc w:val="both"/>
        <w:textAlignment w:val="baseline"/>
        <w:outlineLvl w:val="0"/>
        <w:rPr>
          <w:b/>
          <w:bCs/>
          <w:kern w:val="36"/>
        </w:rPr>
      </w:pPr>
    </w:p>
    <w:p w:rsidR="002A316A" w:rsidRPr="00763A6F" w:rsidRDefault="002A316A" w:rsidP="002A316A">
      <w:pPr>
        <w:shd w:val="clear" w:color="auto" w:fill="FFFFFF"/>
        <w:ind w:firstLine="708"/>
        <w:jc w:val="both"/>
        <w:textAlignment w:val="baseline"/>
      </w:pPr>
      <w:r w:rsidRPr="00763A6F">
        <w:t xml:space="preserve">В последнее время все большую популярность набирают денежные вклады в </w:t>
      </w:r>
      <w:proofErr w:type="spellStart"/>
      <w:r w:rsidRPr="00763A6F">
        <w:t>микрофинансовые</w:t>
      </w:r>
      <w:proofErr w:type="spellEnd"/>
      <w:r w:rsidRPr="00763A6F">
        <w:t xml:space="preserve"> организации. Положить деньги под проценты – чем не идеальный способ преумножения своего капитала? Доверие к банкам постепенно уменьшается, в игру вступают МФО, которые помимо </w:t>
      </w:r>
      <w:hyperlink r:id="rId5" w:history="1">
        <w:r w:rsidRPr="00763A6F">
          <w:rPr>
            <w:u w:val="single"/>
            <w:bdr w:val="none" w:sz="0" w:space="0" w:color="auto" w:frame="1"/>
          </w:rPr>
          <w:t xml:space="preserve">выдачи </w:t>
        </w:r>
        <w:proofErr w:type="spellStart"/>
        <w:r w:rsidRPr="00763A6F">
          <w:rPr>
            <w:u w:val="single"/>
            <w:bdr w:val="none" w:sz="0" w:space="0" w:color="auto" w:frame="1"/>
          </w:rPr>
          <w:t>микрозаймов</w:t>
        </w:r>
        <w:proofErr w:type="spellEnd"/>
      </w:hyperlink>
      <w:r w:rsidR="00AC7F71" w:rsidRPr="00763A6F">
        <w:rPr>
          <w:u w:val="single"/>
          <w:bdr w:val="none" w:sz="0" w:space="0" w:color="auto" w:frame="1"/>
        </w:rPr>
        <w:t xml:space="preserve"> </w:t>
      </w:r>
      <w:r w:rsidRPr="00763A6F">
        <w:t>предоставляют возможность вложения денежных средств.</w:t>
      </w:r>
    </w:p>
    <w:p w:rsidR="002A316A" w:rsidRPr="00763A6F" w:rsidRDefault="002A316A" w:rsidP="002A316A">
      <w:pPr>
        <w:shd w:val="clear" w:color="auto" w:fill="FFFFFF"/>
        <w:ind w:firstLine="708"/>
        <w:jc w:val="both"/>
        <w:textAlignment w:val="baseline"/>
      </w:pPr>
      <w:r w:rsidRPr="00763A6F">
        <w:t xml:space="preserve">Прежде чем инвестировать деньги в </w:t>
      </w:r>
      <w:proofErr w:type="spellStart"/>
      <w:r w:rsidRPr="00763A6F">
        <w:t>микрофинансовую</w:t>
      </w:r>
      <w:proofErr w:type="spellEnd"/>
      <w:r w:rsidRPr="00763A6F">
        <w:t xml:space="preserve"> организацию, необходимо трезво оценить все возможные риски и постараться максимально обезопасить себя от неприятностей.</w:t>
      </w:r>
    </w:p>
    <w:p w:rsidR="002A316A" w:rsidRPr="00763A6F" w:rsidRDefault="002A316A" w:rsidP="002A316A">
      <w:pPr>
        <w:shd w:val="clear" w:color="auto" w:fill="FFFFFF"/>
        <w:ind w:firstLine="708"/>
        <w:jc w:val="both"/>
        <w:textAlignment w:val="baseline"/>
      </w:pPr>
      <w:r w:rsidRPr="00763A6F">
        <w:t>Проверьте, зарегистрирована ли компания, в которую вы планируете сделать вклад, в </w:t>
      </w:r>
      <w:hyperlink r:id="rId6" w:tgtFrame="_blank" w:history="1">
        <w:r w:rsidRPr="00763A6F">
          <w:rPr>
            <w:u w:val="single"/>
            <w:bdr w:val="none" w:sz="0" w:space="0" w:color="auto" w:frame="1"/>
          </w:rPr>
          <w:t>государственном реестре МФО</w:t>
        </w:r>
      </w:hyperlink>
      <w:r w:rsidRPr="00763A6F">
        <w:t>. Эта информация общедоступна, найти данные вам не составит труда. Однако уже на первом этапе важно не попасться на удочку мошенников. Они, как правило, используют для наименования своих МФО такие названия, которые созвучны с названиями фирм, входящих в государственный реестр. Поэтому при работе с базой данных необходимо быть максимально внимательным. Любые несовпадения должны вас насторожить.</w:t>
      </w:r>
    </w:p>
    <w:p w:rsidR="002A316A" w:rsidRPr="00763A6F" w:rsidRDefault="002A316A" w:rsidP="002A316A">
      <w:pPr>
        <w:shd w:val="clear" w:color="auto" w:fill="FFFFFF"/>
        <w:ind w:firstLine="708"/>
        <w:jc w:val="both"/>
        <w:textAlignment w:val="baseline"/>
      </w:pPr>
      <w:r w:rsidRPr="00763A6F">
        <w:t>Следует помнить, что в государственной базе данных опечаток быть не может! Если организация, в которую вы планировали вложить свои денежные средства, не значится в гос. реестре, то сотрудничать с ней не стоит. Можно утверждать с большой степенью вероятности, что вас обманут. Деньги будут присвоены мошенниками, и вернуть их будет невозможно.</w:t>
      </w:r>
    </w:p>
    <w:p w:rsidR="002A316A" w:rsidRPr="00763A6F" w:rsidRDefault="002A316A" w:rsidP="002A316A">
      <w:pPr>
        <w:shd w:val="clear" w:color="auto" w:fill="FFFFFF"/>
        <w:ind w:firstLine="708"/>
        <w:jc w:val="both"/>
        <w:textAlignment w:val="baseline"/>
      </w:pPr>
      <w:r w:rsidRPr="00763A6F">
        <w:t>Народная мудрость гласит: «Скупой платит дважды». Мы напоминаем, что слишком выгодные условия сделки — вклады под 50 – 80% годовых, — могут обернуться большими рисками потерпеть убытки. Как показывает практика, такие высокие процентные ставки предлагают компании-однодневки, работающие по принципу финансовых пирамид, в которых выплаты производятся за счет вновь приносимых денежных средств.</w:t>
      </w:r>
    </w:p>
    <w:p w:rsidR="002A316A" w:rsidRPr="00763A6F" w:rsidRDefault="002A316A" w:rsidP="002A316A">
      <w:pPr>
        <w:shd w:val="clear" w:color="auto" w:fill="FFFFFF"/>
        <w:ind w:firstLine="708"/>
        <w:jc w:val="both"/>
        <w:textAlignment w:val="baseline"/>
      </w:pPr>
      <w:r w:rsidRPr="00763A6F">
        <w:t xml:space="preserve">Кроме того, даже если в поле деятельности </w:t>
      </w:r>
      <w:proofErr w:type="spellStart"/>
      <w:r w:rsidRPr="00763A6F">
        <w:t>микрофинансовой</w:t>
      </w:r>
      <w:proofErr w:type="spellEnd"/>
      <w:r w:rsidRPr="00763A6F">
        <w:t xml:space="preserve"> организации находится выдача кредитов/</w:t>
      </w:r>
      <w:proofErr w:type="spellStart"/>
      <w:r w:rsidRPr="00763A6F">
        <w:t>микрозаймов</w:t>
      </w:r>
      <w:proofErr w:type="spellEnd"/>
      <w:r w:rsidRPr="00763A6F">
        <w:t xml:space="preserve"> под 1-2% в день, вряд ли она сможет обеспечить выплату столь высоких процентных ставок. Не секрет, что такой вид кредитования подвержен серьезным рискам, характеризующимся невыплатой долга или несвоевременным возвратом займа. Прежде чем выбрать процентную ставку для вашего вклада, необходимо провести общий анализ рынка инвестирования и выбрать оптимальный вариант. На сегодняшний день максимально «безопасными» являются вклады под средний процент – 15-20% годовых.</w:t>
      </w:r>
    </w:p>
    <w:p w:rsidR="002A316A" w:rsidRPr="00763A6F" w:rsidRDefault="002A316A" w:rsidP="002A316A">
      <w:pPr>
        <w:shd w:val="clear" w:color="auto" w:fill="FFFFFF"/>
        <w:ind w:firstLine="708"/>
        <w:jc w:val="both"/>
        <w:textAlignment w:val="baseline"/>
      </w:pPr>
      <w:r w:rsidRPr="00763A6F">
        <w:t xml:space="preserve">Убедитесь, что МФО занимается именно финансовой деятельностью, т.е. выдачей </w:t>
      </w:r>
      <w:proofErr w:type="spellStart"/>
      <w:r w:rsidRPr="00763A6F">
        <w:t>микрозаймов</w:t>
      </w:r>
      <w:proofErr w:type="spellEnd"/>
      <w:r w:rsidRPr="00763A6F">
        <w:t>. В случае, если компания исключительно привлекает капиталы, сомнений возникать не должно – это финансовая пирамида, а, значит, вкладывать туда деньги не стоит. Лучше отдать предпочтение известной крупной компании с чистой репутацией.</w:t>
      </w:r>
    </w:p>
    <w:p w:rsidR="002A316A" w:rsidRPr="00763A6F" w:rsidRDefault="002A316A" w:rsidP="002A316A">
      <w:pPr>
        <w:shd w:val="clear" w:color="auto" w:fill="FFFFFF"/>
        <w:ind w:firstLine="708"/>
        <w:jc w:val="both"/>
        <w:textAlignment w:val="baseline"/>
      </w:pPr>
      <w:r w:rsidRPr="00763A6F">
        <w:t xml:space="preserve">В соответствии с действующим законодательством, МФО имеют право привлекать инвестиции на сумму, превышающую 1,5 млн рублей. Однако некоторые компании, пользуясь несовершенством закона, предлагают потенциальным инвесторам, не располагающим столь солидной суммой, договора «наоборот». По документам получается следующая ситуация: гражданин (он же кредитор) предоставляет МФО (она же заемщик) свои денежные средства в качестве ссуды. Так, между «вкладчиком» и </w:t>
      </w:r>
      <w:proofErr w:type="spellStart"/>
      <w:r w:rsidRPr="00763A6F">
        <w:t>микрофинансовой</w:t>
      </w:r>
      <w:proofErr w:type="spellEnd"/>
      <w:r w:rsidRPr="00763A6F">
        <w:t xml:space="preserve"> организацией заключается договор займа.</w:t>
      </w:r>
    </w:p>
    <w:p w:rsidR="002A316A" w:rsidRPr="00763A6F" w:rsidRDefault="002A316A" w:rsidP="002A316A">
      <w:pPr>
        <w:shd w:val="clear" w:color="auto" w:fill="FFFFFF"/>
        <w:ind w:firstLine="708"/>
        <w:jc w:val="both"/>
        <w:textAlignment w:val="baseline"/>
      </w:pPr>
      <w:r w:rsidRPr="00763A6F">
        <w:t>Важно заметить, что все небанковские организации, в том числе и МФО, не участвуют в государственной системе страхования вкладов. Следовательно, вложенные деньги вернуть будет весьма проблематично, несмотря на составленный по всем правилам договор.</w:t>
      </w:r>
    </w:p>
    <w:p w:rsidR="002A316A" w:rsidRDefault="002A316A" w:rsidP="002A316A">
      <w:pPr>
        <w:jc w:val="both"/>
        <w:rPr>
          <w:sz w:val="28"/>
          <w:szCs w:val="28"/>
        </w:rPr>
      </w:pPr>
    </w:p>
    <w:p w:rsidR="002A316A" w:rsidRDefault="002A316A" w:rsidP="002A316A">
      <w:pPr>
        <w:jc w:val="both"/>
        <w:rPr>
          <w:sz w:val="28"/>
          <w:szCs w:val="28"/>
        </w:rPr>
      </w:pPr>
    </w:p>
    <w:p w:rsidR="007D354A" w:rsidRDefault="007D354A" w:rsidP="002A316A">
      <w:pPr>
        <w:jc w:val="both"/>
      </w:pPr>
      <w:r>
        <w:t>П</w:t>
      </w:r>
      <w:r w:rsidR="0077654F" w:rsidRPr="0077654F">
        <w:t>омощник</w:t>
      </w:r>
      <w:r>
        <w:t xml:space="preserve"> Слободского</w:t>
      </w:r>
    </w:p>
    <w:p w:rsidR="002A316A" w:rsidRDefault="007D354A" w:rsidP="002A316A">
      <w:pPr>
        <w:jc w:val="both"/>
        <w:rPr>
          <w:sz w:val="28"/>
          <w:szCs w:val="28"/>
        </w:rPr>
      </w:pPr>
      <w:r>
        <w:t xml:space="preserve">межрайонного </w:t>
      </w:r>
      <w:r w:rsidR="0077654F" w:rsidRPr="0077654F">
        <w:t>прокурора</w:t>
      </w:r>
      <w:r w:rsidR="0077654F" w:rsidRPr="0077654F">
        <w:tab/>
      </w:r>
      <w:r w:rsidR="0077654F" w:rsidRPr="0077654F">
        <w:tab/>
      </w:r>
      <w:r w:rsidR="0077654F" w:rsidRPr="0077654F">
        <w:tab/>
      </w:r>
      <w:r w:rsidR="0077654F" w:rsidRPr="0077654F">
        <w:tab/>
      </w:r>
      <w:r w:rsidR="0077654F" w:rsidRPr="0077654F">
        <w:tab/>
      </w:r>
      <w:r w:rsidR="0077654F" w:rsidRPr="0077654F">
        <w:tab/>
        <w:t xml:space="preserve">            </w:t>
      </w:r>
      <w:r w:rsidR="0077654F">
        <w:t xml:space="preserve">            </w:t>
      </w:r>
      <w:r>
        <w:t xml:space="preserve">В. Д. </w:t>
      </w:r>
      <w:proofErr w:type="spellStart"/>
      <w:r>
        <w:t>Тихановский</w:t>
      </w:r>
      <w:bookmarkStart w:id="0" w:name="_GoBack"/>
      <w:bookmarkEnd w:id="0"/>
      <w:proofErr w:type="spellEnd"/>
    </w:p>
    <w:sectPr w:rsidR="002A316A" w:rsidSect="00F400B0">
      <w:pgSz w:w="11906" w:h="16838"/>
      <w:pgMar w:top="851"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19F7"/>
    <w:multiLevelType w:val="multilevel"/>
    <w:tmpl w:val="78A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5C"/>
    <w:rsid w:val="002A316A"/>
    <w:rsid w:val="00446B1B"/>
    <w:rsid w:val="00477BF6"/>
    <w:rsid w:val="00763A6F"/>
    <w:rsid w:val="0077654F"/>
    <w:rsid w:val="007D1129"/>
    <w:rsid w:val="007D354A"/>
    <w:rsid w:val="008643EE"/>
    <w:rsid w:val="00A42F25"/>
    <w:rsid w:val="00AC7F71"/>
    <w:rsid w:val="00DE205C"/>
    <w:rsid w:val="00F4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F1C6"/>
  <w15:chartTrackingRefBased/>
  <w15:docId w15:val="{7628A34F-D947-4ED1-9A95-DAAD85EC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16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A316A"/>
    <w:pPr>
      <w:spacing w:after="100" w:afterAutospacing="1"/>
      <w:jc w:val="center"/>
      <w:outlineLvl w:val="0"/>
    </w:pPr>
    <w:rPr>
      <w:rFonts w:ascii="Arial" w:hAnsi="Arial" w:cs="Arial"/>
      <w:b/>
      <w:bCs/>
      <w:color w:val="FF330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16A"/>
    <w:rPr>
      <w:rFonts w:ascii="Arial" w:eastAsia="Times New Roman" w:hAnsi="Arial" w:cs="Arial"/>
      <w:b/>
      <w:bCs/>
      <w:color w:val="FF3300"/>
      <w:kern w:val="36"/>
      <w:sz w:val="28"/>
      <w:szCs w:val="28"/>
      <w:lang w:eastAsia="ru-RU"/>
    </w:rPr>
  </w:style>
  <w:style w:type="paragraph" w:styleId="a3">
    <w:name w:val="Normal (Web)"/>
    <w:basedOn w:val="a"/>
    <w:uiPriority w:val="99"/>
    <w:rsid w:val="002A316A"/>
    <w:pPr>
      <w:spacing w:before="100" w:beforeAutospacing="1" w:after="100" w:afterAutospacing="1"/>
      <w:ind w:firstLine="300"/>
      <w:jc w:val="both"/>
    </w:pPr>
    <w:rPr>
      <w:rFonts w:ascii="Arial" w:hAnsi="Arial" w:cs="Arial"/>
      <w:sz w:val="22"/>
      <w:szCs w:val="22"/>
    </w:rPr>
  </w:style>
  <w:style w:type="character" w:styleId="a4">
    <w:name w:val="Hyperlink"/>
    <w:uiPriority w:val="99"/>
    <w:rsid w:val="002A316A"/>
    <w:rPr>
      <w:color w:val="40ACEA"/>
      <w:u w:val="single"/>
    </w:rPr>
  </w:style>
  <w:style w:type="character" w:customStyle="1" w:styleId="apple-converted-space">
    <w:name w:val="apple-converted-space"/>
    <w:rsid w:val="002A316A"/>
  </w:style>
  <w:style w:type="paragraph" w:styleId="a5">
    <w:name w:val="Balloon Text"/>
    <w:basedOn w:val="a"/>
    <w:link w:val="a6"/>
    <w:uiPriority w:val="99"/>
    <w:semiHidden/>
    <w:unhideWhenUsed/>
    <w:rsid w:val="002A316A"/>
    <w:rPr>
      <w:rFonts w:ascii="Segoe UI" w:hAnsi="Segoe UI" w:cs="Segoe UI"/>
      <w:sz w:val="18"/>
      <w:szCs w:val="18"/>
    </w:rPr>
  </w:style>
  <w:style w:type="character" w:customStyle="1" w:styleId="a6">
    <w:name w:val="Текст выноски Знак"/>
    <w:basedOn w:val="a0"/>
    <w:link w:val="a5"/>
    <w:uiPriority w:val="99"/>
    <w:semiHidden/>
    <w:rsid w:val="002A316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r.ru/sbrfr/archive/fsfr/ffms/ru/contributors/microfinance_org/state_register_microfinance_org/index.html" TargetMode="External"/><Relationship Id="rId5" Type="http://schemas.openxmlformats.org/officeDocument/2006/relationships/hyperlink" Target="http://superzaim.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Вотинцева Тамара Анатольевна</dc:creator>
  <cp:keywords/>
  <dc:description/>
  <cp:lastModifiedBy>Волков Антон Александрович</cp:lastModifiedBy>
  <cp:revision>10</cp:revision>
  <cp:lastPrinted>2022-06-27T06:33:00Z</cp:lastPrinted>
  <dcterms:created xsi:type="dcterms:W3CDTF">2022-06-26T13:42:00Z</dcterms:created>
  <dcterms:modified xsi:type="dcterms:W3CDTF">2023-04-20T13:35:00Z</dcterms:modified>
</cp:coreProperties>
</file>